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216" w14:textId="77777777"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 wp14:anchorId="4E719BB4" wp14:editId="776F2CDE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Lucoli</w:t>
      </w:r>
    </w:p>
    <w:p w14:paraId="234DD3D1" w14:textId="77777777" w:rsidR="00AC07DB" w:rsidRPr="00050DDC" w:rsidRDefault="00AC07DB" w:rsidP="00AC07DB">
      <w:pPr>
        <w:spacing w:line="276" w:lineRule="auto"/>
        <w:jc w:val="right"/>
      </w:pPr>
      <w:r w:rsidRPr="00050DDC">
        <w:t>Provincia di L'Aquila</w:t>
      </w:r>
    </w:p>
    <w:p w14:paraId="7BC3B7A4" w14:textId="77777777"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1930BD" wp14:editId="046FB8AD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391E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14:paraId="294BD812" w14:textId="77777777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14:paraId="1E68F81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14:paraId="3C01E784" w14:textId="77777777"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14:paraId="301B7B09" w14:textId="77777777"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d.P.R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. 28 </w:t>
            </w:r>
            <w:proofErr w:type="spellStart"/>
            <w:r w:rsidRPr="00944BF5">
              <w:rPr>
                <w:i/>
                <w:iCs/>
                <w:color w:val="212121"/>
                <w:lang w:val="en-US"/>
              </w:rPr>
              <w:t>dicembre</w:t>
            </w:r>
            <w:proofErr w:type="spellEnd"/>
            <w:r w:rsidRPr="00944BF5">
              <w:rPr>
                <w:i/>
                <w:iCs/>
                <w:color w:val="212121"/>
                <w:lang w:val="en-US"/>
              </w:rPr>
              <w:t xml:space="preserve"> 2000, n. 445, art. 19)</w:t>
            </w:r>
          </w:p>
        </w:tc>
      </w:tr>
    </w:tbl>
    <w:p w14:paraId="5DACEF2C" w14:textId="77777777"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14:paraId="57C32D13" w14:textId="77777777" w:rsidR="00E219F3" w:rsidRPr="00461BDB" w:rsidRDefault="00E219F3" w:rsidP="00E219F3">
      <w:pPr>
        <w:shd w:val="clear" w:color="auto" w:fill="FFFFFF"/>
        <w:ind w:left="567" w:right="567"/>
        <w:jc w:val="both"/>
        <w:rPr>
          <w:sz w:val="16"/>
          <w:szCs w:val="16"/>
        </w:rPr>
      </w:pPr>
      <w:r>
        <w:rPr>
          <w:b/>
          <w:i/>
          <w:iCs/>
          <w:color w:val="000000"/>
          <w:sz w:val="16"/>
          <w:szCs w:val="16"/>
        </w:rPr>
        <w:t>“</w:t>
      </w:r>
      <w:r w:rsidRPr="00461BDB">
        <w:rPr>
          <w:b/>
          <w:i/>
          <w:iCs/>
          <w:color w:val="000000"/>
          <w:sz w:val="16"/>
          <w:szCs w:val="16"/>
        </w:rPr>
        <w:t>Art. 76 - Norme penali.</w:t>
      </w:r>
    </w:p>
    <w:p w14:paraId="75A50EE3" w14:textId="77777777" w:rsidR="00E219F3" w:rsidRPr="00E219F3" w:rsidRDefault="00E219F3" w:rsidP="00E219F3">
      <w:pPr>
        <w:shd w:val="clear" w:color="auto" w:fill="FFFFFF"/>
        <w:ind w:left="851" w:right="567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1. 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Chiunque rilascia dichiarazioni mendaci, forma atti falsi o ne fa uso nei casi previsti dal presente testo unico </w:t>
      </w:r>
      <w:r w:rsidRPr="00F165FC">
        <w:rPr>
          <w:rFonts w:cs="Times New Roman"/>
          <w:i/>
          <w:iCs/>
          <w:color w:val="000000"/>
          <w:spacing w:val="-2"/>
          <w:sz w:val="16"/>
          <w:szCs w:val="16"/>
        </w:rPr>
        <w:t>è</w:t>
      </w:r>
      <w:r w:rsidRPr="00F165FC">
        <w:rPr>
          <w:i/>
          <w:iCs/>
          <w:color w:val="000000"/>
          <w:spacing w:val="-2"/>
          <w:sz w:val="16"/>
          <w:szCs w:val="16"/>
        </w:rPr>
        <w:t xml:space="preserve"> punito</w:t>
      </w:r>
      <w:r w:rsidRPr="00F165FC">
        <w:rPr>
          <w:i/>
          <w:iCs/>
          <w:color w:val="000000"/>
          <w:sz w:val="16"/>
          <w:szCs w:val="16"/>
        </w:rPr>
        <w:t xml:space="preserve"> ai sensi del codice penale e delle leggi speciali in materia. </w:t>
      </w:r>
      <w:r w:rsidRPr="00E219F3">
        <w:rPr>
          <w:i/>
          <w:iCs/>
          <w:color w:val="000000"/>
          <w:sz w:val="16"/>
          <w:szCs w:val="16"/>
        </w:rPr>
        <w:t xml:space="preserve">La sanzione ordinariamente prevista dal Codice penale è aumentata da un terzo alla metà. </w:t>
      </w:r>
    </w:p>
    <w:p w14:paraId="58390443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374FE">
        <w:rPr>
          <w:i/>
          <w:color w:val="000000"/>
          <w:sz w:val="16"/>
          <w:szCs w:val="16"/>
        </w:rPr>
        <w:t>2</w:t>
      </w:r>
      <w:r>
        <w:rPr>
          <w:i/>
          <w:color w:val="000000"/>
          <w:sz w:val="16"/>
          <w:szCs w:val="16"/>
        </w:rPr>
        <w:t>.</w:t>
      </w:r>
      <w:r w:rsidRPr="005374FE">
        <w:rPr>
          <w:i/>
          <w:color w:val="000000"/>
          <w:sz w:val="16"/>
          <w:szCs w:val="16"/>
        </w:rPr>
        <w:t xml:space="preserve"> L’</w:t>
      </w:r>
      <w:r w:rsidRPr="005374FE">
        <w:rPr>
          <w:i/>
          <w:iCs/>
          <w:color w:val="000000"/>
          <w:sz w:val="16"/>
          <w:szCs w:val="16"/>
        </w:rPr>
        <w:t>esibizione di un atto contenente dati non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rispondenti a verit</w:t>
      </w:r>
      <w:r w:rsidRPr="005374FE">
        <w:rPr>
          <w:rFonts w:cs="Times New Roman"/>
          <w:i/>
          <w:iCs/>
          <w:color w:val="000000"/>
          <w:sz w:val="16"/>
          <w:szCs w:val="16"/>
        </w:rPr>
        <w:t>à</w:t>
      </w:r>
      <w:r w:rsidRPr="005374FE">
        <w:rPr>
          <w:i/>
          <w:iCs/>
          <w:color w:val="000000"/>
          <w:sz w:val="16"/>
          <w:szCs w:val="16"/>
        </w:rPr>
        <w:t xml:space="preserve"> equivale ad uso di atto falso.</w:t>
      </w:r>
    </w:p>
    <w:p w14:paraId="1E656A77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3. </w:t>
      </w:r>
      <w:r w:rsidRPr="005374FE">
        <w:rPr>
          <w:i/>
          <w:iCs/>
          <w:color w:val="000000"/>
          <w:spacing w:val="-2"/>
          <w:sz w:val="16"/>
          <w:szCs w:val="16"/>
        </w:rPr>
        <w:t>Le dichiarazioni sostitutive rese ai sensi degli articoli 46 (certificazione) e 47 (notoriet</w:t>
      </w:r>
      <w:r w:rsidRPr="005374FE">
        <w:rPr>
          <w:rFonts w:cs="Times New Roman"/>
          <w:i/>
          <w:iCs/>
          <w:color w:val="000000"/>
          <w:spacing w:val="-2"/>
          <w:sz w:val="16"/>
          <w:szCs w:val="16"/>
        </w:rPr>
        <w:t>à</w:t>
      </w:r>
      <w:r w:rsidRPr="005374FE">
        <w:rPr>
          <w:i/>
          <w:iCs/>
          <w:color w:val="000000"/>
          <w:spacing w:val="-2"/>
          <w:sz w:val="16"/>
          <w:szCs w:val="16"/>
        </w:rPr>
        <w:t>) e le dichiarazioni rese per conto delle persone indicate nell'articolo 4, comma 2, (impedimento temporaneo) sono considerate come fatte a pubblico ufficiale.</w:t>
      </w:r>
    </w:p>
    <w:p w14:paraId="33B20ED4" w14:textId="77777777" w:rsidR="00E219F3" w:rsidRPr="005374FE" w:rsidRDefault="00E219F3" w:rsidP="00E219F3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7E6954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374FE">
        <w:rPr>
          <w:i/>
          <w:iCs/>
          <w:color w:val="000000"/>
          <w:sz w:val="16"/>
          <w:szCs w:val="16"/>
        </w:rPr>
        <w:t xml:space="preserve"> all'esercizio di una professione o arte, il giudice, nei casi pi</w:t>
      </w:r>
      <w:r w:rsidRPr="005374FE">
        <w:rPr>
          <w:rFonts w:cs="Times New Roman"/>
          <w:i/>
          <w:iCs/>
          <w:color w:val="000000"/>
          <w:sz w:val="16"/>
          <w:szCs w:val="16"/>
        </w:rPr>
        <w:t>ù</w:t>
      </w:r>
      <w:r w:rsidRPr="005374FE">
        <w:rPr>
          <w:i/>
          <w:iCs/>
          <w:color w:val="000000"/>
          <w:sz w:val="16"/>
          <w:szCs w:val="16"/>
        </w:rPr>
        <w:t xml:space="preserve"> gravi, pu</w:t>
      </w:r>
      <w:r w:rsidRPr="005374FE">
        <w:rPr>
          <w:rFonts w:cs="Times New Roman"/>
          <w:i/>
          <w:iCs/>
          <w:color w:val="000000"/>
          <w:sz w:val="16"/>
          <w:szCs w:val="16"/>
        </w:rPr>
        <w:t>ò</w:t>
      </w:r>
      <w:r w:rsidRPr="005374FE">
        <w:rPr>
          <w:i/>
          <w:iCs/>
          <w:color w:val="000000"/>
          <w:sz w:val="16"/>
          <w:szCs w:val="16"/>
        </w:rPr>
        <w:t xml:space="preserve"> applicare l'interdizione temporanea dai pubblici uffici o dalla professione e arte.</w:t>
      </w:r>
      <w:r>
        <w:rPr>
          <w:i/>
          <w:iCs/>
          <w:color w:val="000000"/>
          <w:sz w:val="16"/>
          <w:szCs w:val="16"/>
        </w:rPr>
        <w:t>”</w:t>
      </w:r>
    </w:p>
    <w:p w14:paraId="50EFAC50" w14:textId="77777777" w:rsidR="00E219F3" w:rsidRPr="00E219F3" w:rsidRDefault="00E219F3" w:rsidP="00E219F3">
      <w:pPr>
        <w:shd w:val="clear" w:color="auto" w:fill="FFFFFF"/>
        <w:spacing w:before="60" w:line="312" w:lineRule="auto"/>
        <w:jc w:val="both"/>
        <w:rPr>
          <w:color w:val="000000"/>
        </w:rPr>
      </w:pPr>
      <w:r w:rsidRPr="008826E3">
        <w:rPr>
          <w:color w:val="000000"/>
        </w:rPr>
        <w:t xml:space="preserve">ferma restando, a norma del disposto dell'art. 75, dello stesso d.P.R. n. 445/2000, nel caso di dichiarazione non veritiera, la decadenza dai benefici eventualmente conseguiti </w:t>
      </w:r>
      <w:r w:rsidRPr="00E219F3">
        <w:rPr>
          <w:color w:val="000000"/>
        </w:rPr>
        <w:t xml:space="preserve">e il divieto di accesso a contributi, finanziamenti ed agevolazioni per un periodo di 2 anni decorrenti da quando l’amministrazione ha adottato l’atto di decadenza; </w:t>
      </w:r>
      <w:r w:rsidRPr="008826E3">
        <w:rPr>
          <w:color w:val="000000"/>
        </w:rPr>
        <w:t>sotto la propria personale responsabilit</w:t>
      </w:r>
      <w:r w:rsidRPr="00E219F3">
        <w:rPr>
          <w:color w:val="000000"/>
        </w:rPr>
        <w:t>à</w:t>
      </w:r>
      <w:r w:rsidRPr="008826E3">
        <w:rPr>
          <w:color w:val="000000"/>
        </w:rPr>
        <w:t>,</w:t>
      </w:r>
    </w:p>
    <w:p w14:paraId="2CA74F20" w14:textId="77777777"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14:paraId="299354A5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14:paraId="14230580" w14:textId="77777777"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14:paraId="1E96C4E3" w14:textId="77777777"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190BF396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A8C8107" w14:textId="77777777"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14:paraId="7B3EEAF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14:paraId="37C81411" w14:textId="77777777"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11B6950A" w14:textId="77777777"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14:paraId="24805157" w14:textId="77777777"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14:paraId="69BD2CA0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14:paraId="1965F4E8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847CF">
        <w:rPr>
          <w:color w:val="000000"/>
        </w:rPr>
      </w:r>
      <w:r w:rsidR="001847CF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14:paraId="777128A4" w14:textId="77777777"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14:paraId="4B311CE7" w14:textId="77777777"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14:paraId="362EB78A" w14:textId="77777777"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14:paraId="3943F902" w14:textId="77777777"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7FB48D53" w14:textId="77777777"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14:paraId="4C9EB3EB" w14:textId="77777777"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14:paraId="001D06E9" w14:textId="77777777" w:rsidTr="0032162B">
        <w:trPr>
          <w:jc w:val="center"/>
        </w:trPr>
        <w:tc>
          <w:tcPr>
            <w:tcW w:w="9778" w:type="dxa"/>
            <w:shd w:val="clear" w:color="auto" w:fill="auto"/>
          </w:tcPr>
          <w:p w14:paraId="7F69277E" w14:textId="77777777"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14:paraId="749ECF1D" w14:textId="77777777"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14:paraId="64EE905F" w14:textId="77777777" w:rsidTr="0032162B">
        <w:trPr>
          <w:trHeight w:val="1268"/>
          <w:jc w:val="center"/>
        </w:trPr>
        <w:tc>
          <w:tcPr>
            <w:tcW w:w="4127" w:type="dxa"/>
          </w:tcPr>
          <w:p w14:paraId="0B7C8DC4" w14:textId="77777777"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lastRenderedPageBreak/>
              <w:t>FIRMATA DAL DICHIARANTE</w:t>
            </w:r>
          </w:p>
          <w:p w14:paraId="44574E3A" w14:textId="77777777"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14:paraId="6460DF7C" w14:textId="77777777"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1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1"/>
          </w:p>
          <w:p w14:paraId="736A7EC5" w14:textId="77777777"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2" w:name="Testo5"/>
          <w:p w14:paraId="578E4CE4" w14:textId="77777777"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  <w:tc>
          <w:tcPr>
            <w:tcW w:w="5512" w:type="dxa"/>
            <w:shd w:val="clear" w:color="auto" w:fill="auto"/>
          </w:tcPr>
          <w:p w14:paraId="0928B474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14:paraId="799F6FA6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3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14:paraId="748B2545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14:paraId="1921AC8C" w14:textId="77777777"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14:paraId="3BE540AA" w14:textId="77777777"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847CF">
              <w:rPr>
                <w:rFonts w:cs="Times New Roman"/>
              </w:rPr>
            </w:r>
            <w:r w:rsidR="001847CF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bookmarkStart w:id="17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7"/>
          </w:p>
        </w:tc>
      </w:tr>
    </w:tbl>
    <w:p w14:paraId="2F258BD1" w14:textId="77777777"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8587" w14:textId="77777777" w:rsidR="001847CF" w:rsidRDefault="001847CF">
      <w:r>
        <w:separator/>
      </w:r>
    </w:p>
  </w:endnote>
  <w:endnote w:type="continuationSeparator" w:id="0">
    <w:p w14:paraId="5403036F" w14:textId="77777777" w:rsidR="001847CF" w:rsidRDefault="0018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3AA2" w14:textId="77777777"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34247" w14:textId="77777777"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14:paraId="62003B68" w14:textId="77777777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11D9101C" w14:textId="77777777"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BCC0A11" wp14:editId="5DAB1F3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F4BAB3B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14:paraId="24F4E4F4" w14:textId="77777777"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14:paraId="40C84FFD" w14:textId="77777777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3DF3EBA9" w14:textId="77777777"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A474EE" w14:textId="77777777"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2D26B3B1" w14:textId="77777777"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5FB169B6" w14:textId="77777777"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88EB" w14:textId="77777777" w:rsidR="001847CF" w:rsidRDefault="001847CF">
      <w:r>
        <w:separator/>
      </w:r>
    </w:p>
  </w:footnote>
  <w:footnote w:type="continuationSeparator" w:id="0">
    <w:p w14:paraId="1D7809BF" w14:textId="77777777" w:rsidR="001847CF" w:rsidRDefault="0018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847CF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219F3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E4BE5FE"/>
  <w15:docId w15:val="{AC1F047D-B0AB-42DD-AEF3-2CE632A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6</cp:revision>
  <cp:lastPrinted>2012-04-23T12:57:00Z</cp:lastPrinted>
  <dcterms:created xsi:type="dcterms:W3CDTF">2018-09-21T13:47:00Z</dcterms:created>
  <dcterms:modified xsi:type="dcterms:W3CDTF">2020-08-13T10:26:00Z</dcterms:modified>
</cp:coreProperties>
</file>